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B" w:rsidRDefault="00804ABD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z6I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05D6B" w:rsidRDefault="00105D6B">
      <w:pPr>
        <w:jc w:val="center"/>
        <w:rPr>
          <w:color w:val="FF0000"/>
          <w:spacing w:val="30"/>
          <w:sz w:val="26"/>
          <w:szCs w:val="26"/>
        </w:rPr>
      </w:pPr>
    </w:p>
    <w:p w:rsidR="00105D6B" w:rsidRDefault="00804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05D6B" w:rsidRDefault="00105D6B">
      <w:pPr>
        <w:jc w:val="center"/>
        <w:rPr>
          <w:color w:val="FF0000"/>
          <w:sz w:val="26"/>
          <w:szCs w:val="26"/>
        </w:rPr>
      </w:pPr>
    </w:p>
    <w:p w:rsidR="00105D6B" w:rsidRDefault="00804AB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05D6B" w:rsidRDefault="00105D6B">
      <w:pPr>
        <w:jc w:val="center"/>
        <w:rPr>
          <w:b/>
          <w:color w:val="FF0000"/>
          <w:spacing w:val="38"/>
          <w:sz w:val="26"/>
          <w:szCs w:val="26"/>
        </w:rPr>
      </w:pPr>
    </w:p>
    <w:p w:rsidR="00105D6B" w:rsidRDefault="00804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E55">
        <w:rPr>
          <w:sz w:val="28"/>
          <w:szCs w:val="28"/>
          <w:u w:val="single"/>
        </w:rPr>
        <w:t>15.10.2020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42E55">
        <w:rPr>
          <w:sz w:val="28"/>
          <w:szCs w:val="28"/>
          <w:u w:val="single"/>
        </w:rPr>
        <w:t>149</w:t>
      </w:r>
    </w:p>
    <w:p w:rsidR="00105D6B" w:rsidRDefault="00105D6B">
      <w:pPr>
        <w:jc w:val="center"/>
        <w:rPr>
          <w:color w:val="FF0000"/>
          <w:sz w:val="26"/>
          <w:szCs w:val="26"/>
        </w:rPr>
      </w:pPr>
    </w:p>
    <w:p w:rsidR="00105D6B" w:rsidRDefault="00804A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05D6B" w:rsidRDefault="00105D6B">
      <w:pPr>
        <w:jc w:val="center"/>
        <w:rPr>
          <w:sz w:val="28"/>
          <w:szCs w:val="28"/>
        </w:rPr>
      </w:pPr>
    </w:p>
    <w:p w:rsidR="00105D6B" w:rsidRDefault="00105D6B">
      <w:pPr>
        <w:jc w:val="center"/>
        <w:rPr>
          <w:sz w:val="28"/>
          <w:szCs w:val="28"/>
        </w:rPr>
      </w:pPr>
    </w:p>
    <w:p w:rsidR="00105D6B" w:rsidRDefault="00804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 ограничительных мероприятиях для обеспечения </w:t>
      </w:r>
    </w:p>
    <w:p w:rsidR="00105D6B" w:rsidRDefault="00804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санитарно-эпидемиологического благополучия </w:t>
      </w:r>
    </w:p>
    <w:p w:rsidR="00105D6B" w:rsidRDefault="00804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населения на территории муниципального образования </w:t>
      </w:r>
    </w:p>
    <w:p w:rsidR="00105D6B" w:rsidRDefault="00804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Батайск» в </w:t>
      </w:r>
      <w:r>
        <w:rPr>
          <w:b/>
          <w:sz w:val="32"/>
          <w:szCs w:val="32"/>
        </w:rPr>
        <w:t xml:space="preserve">связи с распространением новой </w:t>
      </w:r>
      <w:proofErr w:type="spellStart"/>
      <w:r>
        <w:rPr>
          <w:b/>
          <w:sz w:val="32"/>
          <w:szCs w:val="32"/>
        </w:rPr>
        <w:t>коронавирусной</w:t>
      </w:r>
      <w:proofErr w:type="spellEnd"/>
      <w:r>
        <w:rPr>
          <w:b/>
          <w:sz w:val="32"/>
          <w:szCs w:val="32"/>
        </w:rPr>
        <w:t xml:space="preserve"> инфекции (</w:t>
      </w:r>
      <w:r>
        <w:rPr>
          <w:b/>
          <w:sz w:val="32"/>
          <w:szCs w:val="32"/>
          <w:lang w:val="en-US"/>
        </w:rPr>
        <w:t>COVID</w:t>
      </w:r>
      <w:r>
        <w:rPr>
          <w:b/>
          <w:sz w:val="32"/>
          <w:szCs w:val="32"/>
        </w:rPr>
        <w:t>-19)</w:t>
      </w:r>
    </w:p>
    <w:p w:rsidR="00105D6B" w:rsidRDefault="00105D6B">
      <w:pPr>
        <w:pStyle w:val="a3"/>
        <w:ind w:firstLine="0"/>
        <w:jc w:val="left"/>
        <w:rPr>
          <w:color w:val="000000"/>
          <w:szCs w:val="28"/>
        </w:rPr>
      </w:pPr>
    </w:p>
    <w:p w:rsidR="00105D6B" w:rsidRDefault="00105D6B">
      <w:pPr>
        <w:pStyle w:val="a3"/>
        <w:ind w:firstLine="0"/>
        <w:jc w:val="left"/>
        <w:rPr>
          <w:color w:val="000000"/>
          <w:szCs w:val="28"/>
        </w:rPr>
      </w:pPr>
    </w:p>
    <w:p w:rsidR="00105D6B" w:rsidRDefault="00804ABD">
      <w:pPr>
        <w:pStyle w:val="12"/>
        <w:shd w:val="clear" w:color="auto" w:fill="auto"/>
        <w:spacing w:before="0" w:after="281"/>
        <w:ind w:left="20" w:right="20" w:firstLine="700"/>
        <w:rPr>
          <w:color w:val="000000"/>
          <w:spacing w:val="-24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на территории муниципального образования «Город Батайск», в</w:t>
      </w:r>
      <w:r>
        <w:t xml:space="preserve"> соответ</w:t>
      </w:r>
      <w:r>
        <w:t>ствии с, Федеральным законом от 30.03.1999 № 52-ФЗ «О санитарно-эпидемиологическом благополучии населения», постановлением Правительства Ростовской области от 14.10.2020 № 86 «О внесении изменения в постановление Правительства Ростовской области от 05.04.2</w:t>
      </w:r>
      <w:r>
        <w:t xml:space="preserve">020 № 272», на основании </w:t>
      </w:r>
      <w:r>
        <w:rPr>
          <w:sz w:val="28"/>
          <w:szCs w:val="28"/>
        </w:rPr>
        <w:t>рекомендаций заместителя руководителя – заместителя Главного государственного санитарного врача по</w:t>
      </w:r>
      <w:proofErr w:type="gramEnd"/>
      <w:r>
        <w:rPr>
          <w:sz w:val="28"/>
          <w:szCs w:val="28"/>
        </w:rPr>
        <w:t xml:space="preserve"> Ростовской области от 18.09.2020 № 1-23466 «Об усилении</w:t>
      </w:r>
      <w:r>
        <w:rPr>
          <w:sz w:val="28"/>
          <w:szCs w:val="28"/>
          <w:shd w:val="clear" w:color="auto" w:fill="FFFFFF"/>
        </w:rPr>
        <w:t xml:space="preserve">, мер по профилактике </w:t>
      </w:r>
      <w:r>
        <w:rPr>
          <w:lang w:val="en-US"/>
        </w:rPr>
        <w:t>COVID</w:t>
      </w:r>
      <w:r>
        <w:t xml:space="preserve">-19»,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города Батайска </w:t>
      </w:r>
      <w:r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pacing w:val="60"/>
          <w:sz w:val="28"/>
          <w:szCs w:val="28"/>
        </w:rPr>
        <w:t>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Главному врачу МБУЗ «ЦГБ» города Батайска, начальнику Управления образования города Батайска, начальнику Управления культуры города Батайска, в подведомственных учреждениях: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Обеспечить эффективную работу «фильтров», с обязательным нахождением медиц</w:t>
      </w:r>
      <w:r>
        <w:rPr>
          <w:sz w:val="28"/>
          <w:szCs w:val="28"/>
        </w:rPr>
        <w:t>инских работников в учреждениях, по выявлению и недопущению в образовательные учреждения детей и сотрудников с признаками заболеваний.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Ограничить допуск в образовательные учреждения родителей (законных представителей) и иных лиц, не связанных с образо</w:t>
      </w:r>
      <w:r>
        <w:rPr>
          <w:sz w:val="28"/>
          <w:szCs w:val="28"/>
        </w:rPr>
        <w:t>вательным процессом.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</w:t>
      </w:r>
      <w:proofErr w:type="gramStart"/>
      <w:r>
        <w:rPr>
          <w:sz w:val="28"/>
          <w:szCs w:val="28"/>
        </w:rPr>
        <w:t>Принять меры к соблюдению требований, установленных подпунктом 1.2 пункта 1 постановления Правительства Ростовской области от 05.04.2020 № 272 "О мерах по обеспечению санитарно-эпидемиологического благополучия населения на террито</w:t>
      </w:r>
      <w:r>
        <w:rPr>
          <w:sz w:val="28"/>
          <w:szCs w:val="28"/>
        </w:rPr>
        <w:t xml:space="preserve">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 всеми сотрудниками медицинских, образовательных учреждений, в том числе педагогическим составом при нахождении в зданиях учреждений (вне периода проведения уроков).</w:t>
      </w:r>
      <w:proofErr w:type="gramEnd"/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>
        <w:rPr>
          <w:sz w:val="28"/>
          <w:szCs w:val="28"/>
        </w:rPr>
        <w:t xml:space="preserve">Рекомендовать ограничить проведение организациями (индивидуальными предпринимателями), осуществляющими организованное проведение временного досуга детей в помещениях общеобразовательных учреждений, при невозможности соблюдения социального </w:t>
      </w:r>
      <w:proofErr w:type="spellStart"/>
      <w:r>
        <w:rPr>
          <w:sz w:val="28"/>
          <w:szCs w:val="28"/>
        </w:rPr>
        <w:t>дистанциров</w:t>
      </w:r>
      <w:r>
        <w:rPr>
          <w:sz w:val="28"/>
          <w:szCs w:val="28"/>
        </w:rPr>
        <w:t>ания</w:t>
      </w:r>
      <w:proofErr w:type="spellEnd"/>
      <w:r>
        <w:rPr>
          <w:sz w:val="28"/>
          <w:szCs w:val="28"/>
        </w:rPr>
        <w:t>, с учетом требований подпункта 1.1 пункта 1 постановления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(COVID-19)".</w:t>
      </w:r>
      <w:proofErr w:type="gramEnd"/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Приостановить проведение досуговых и прочих массовых мероприятий с участием разных классов, школ.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Ограничить допуск в медицинские организации, оказывающие медицинскую помощь в стационарных условиях, лиц, </w:t>
      </w:r>
      <w:r>
        <w:rPr>
          <w:sz w:val="28"/>
          <w:szCs w:val="28"/>
        </w:rPr>
        <w:t>не имеющих отношения к получению или оказанию медицинской помощи, обеспечению деятельности медицинских организаций.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Обеспечить оказание медицинской помощи в амбулаторных условиях с соблюдением дистанции до других граждан не менее 1,5 метра, строго по </w:t>
      </w:r>
      <w:r>
        <w:rPr>
          <w:sz w:val="28"/>
          <w:szCs w:val="28"/>
        </w:rPr>
        <w:t>графику и предварительной записи, с использованием лицевых масок или респираторов, кожных антисептиков и входной бесконтактной термометрии тела, а пациентам с симптомами ОРВИ в приемно-смотровых боксах и фильтрах боксах, с приоритетным оказанием медицинско</w:t>
      </w:r>
      <w:r>
        <w:rPr>
          <w:sz w:val="28"/>
          <w:szCs w:val="28"/>
        </w:rPr>
        <w:t>й помощи на дому.</w:t>
      </w:r>
      <w:proofErr w:type="gramEnd"/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города Батайска по экономике, руководителям пассажирских транспортных предприятий: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Обеспечить контроль за ежедневным проведением дезинфекции транспорта, проведением обработки салонов пассажирского т</w:t>
      </w:r>
      <w:r>
        <w:rPr>
          <w:sz w:val="28"/>
          <w:szCs w:val="28"/>
        </w:rPr>
        <w:t xml:space="preserve">ранспорта (поручней, ручек, дверей и др.)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 xml:space="preserve"> в период </w:t>
      </w:r>
      <w:proofErr w:type="spellStart"/>
      <w:r>
        <w:rPr>
          <w:sz w:val="28"/>
          <w:szCs w:val="28"/>
        </w:rPr>
        <w:t>межрейсового</w:t>
      </w:r>
      <w:proofErr w:type="spellEnd"/>
      <w:r>
        <w:rPr>
          <w:sz w:val="28"/>
          <w:szCs w:val="28"/>
        </w:rPr>
        <w:t xml:space="preserve"> перестоя по прибытию на остановочный пункт, обязательным использованием лицевых масок или респираторов водителями, с соблюдением требований установленных в приложении № 1 к поста</w:t>
      </w:r>
      <w:r>
        <w:rPr>
          <w:sz w:val="28"/>
          <w:szCs w:val="28"/>
        </w:rPr>
        <w:t>новлению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</w:t>
      </w:r>
      <w:proofErr w:type="gramEnd"/>
      <w:r>
        <w:rPr>
          <w:sz w:val="28"/>
          <w:szCs w:val="28"/>
        </w:rPr>
        <w:t xml:space="preserve">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 (COVID-19)".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целя</w:t>
      </w:r>
      <w:r>
        <w:rPr>
          <w:sz w:val="28"/>
          <w:szCs w:val="28"/>
        </w:rPr>
        <w:t>х недопущения скученности людей на остановках и переполнения общественного транспорта, провести корректировку графиков движений общественного транспорта по городским маршрутам, с учетом необходимости.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Заместителям главы Администрации города Батайска: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Активизировать, в подведомственных им муниципальных учреждениях и предприятиях, санитарно-просветительную работу по соблюдению гражданами требований, предусмотренными подпунктами 1.1, 1.2 пункта 1, пункта 8 постановления Правительства Ростовской области</w:t>
      </w:r>
      <w:r>
        <w:rPr>
          <w:sz w:val="28"/>
          <w:szCs w:val="28"/>
        </w:rPr>
        <w:t xml:space="preserve">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(COVID-19)", личной гигиены (частное мытье рук с мылом или протирку </w:t>
      </w:r>
      <w:r>
        <w:rPr>
          <w:sz w:val="28"/>
          <w:szCs w:val="28"/>
        </w:rPr>
        <w:t>их кожными антисептиками</w:t>
      </w:r>
      <w:proofErr w:type="gramEnd"/>
      <w:r>
        <w:rPr>
          <w:sz w:val="28"/>
          <w:szCs w:val="28"/>
        </w:rPr>
        <w:t xml:space="preserve">), регулярное проветривание помещений, проведение влажной уборки с применением дезинфицирующих средств и других мер профилактики с размещением данной информации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, плакатах, на экранах бегущей строкой: демонстрации перед </w:t>
      </w:r>
      <w:r>
        <w:rPr>
          <w:sz w:val="28"/>
          <w:szCs w:val="28"/>
        </w:rPr>
        <w:t>началом сеансов в кинотеатрах видеоматериалов о профилактики вирусных инфекций.</w:t>
      </w:r>
    </w:p>
    <w:p w:rsidR="00105D6B" w:rsidRDefault="00804AB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 Обеспечить ежедневную дезинфекцию помещений муниципальных учреждений и предприятий.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Отраслевым (функциональным) органам Администрации города Батайска, муниципальным бюд</w:t>
      </w:r>
      <w:r>
        <w:rPr>
          <w:sz w:val="28"/>
          <w:szCs w:val="28"/>
        </w:rPr>
        <w:t>жетным учреждениям, оказывающим муниципальные услуги населению, в том числе МБУ «МФЦ» г. Батайска, с целью исключения одномоментного нахождения граждан в ограниченных по размерам внутренних пространствах зданий в соответствии с требованиями подпункта 1.1 п</w:t>
      </w:r>
      <w:r>
        <w:rPr>
          <w:sz w:val="28"/>
          <w:szCs w:val="28"/>
        </w:rPr>
        <w:t>ункта 1 постановления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</w:t>
      </w:r>
      <w:proofErr w:type="gramEnd"/>
      <w:r>
        <w:rPr>
          <w:sz w:val="28"/>
          <w:szCs w:val="28"/>
        </w:rPr>
        <w:t xml:space="preserve">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(COVID-19)", о</w:t>
      </w:r>
      <w:r>
        <w:rPr>
          <w:sz w:val="28"/>
          <w:szCs w:val="28"/>
        </w:rPr>
        <w:t>рганизовать предоставление муниципальных услуг населению по предварительной записи.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Отраслевым (функциональным) органам Администрации города Батайска, муниципальным учреждениям, предприятиям города Батайска, организациям не зависимо от организационно-пр</w:t>
      </w:r>
      <w:r>
        <w:rPr>
          <w:sz w:val="28"/>
          <w:szCs w:val="28"/>
        </w:rPr>
        <w:t xml:space="preserve">авовой формы </w:t>
      </w: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соблюдение требований, установленных пунктами 8, 10 постановления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</w:t>
      </w:r>
      <w:r>
        <w:rPr>
          <w:sz w:val="28"/>
          <w:szCs w:val="28"/>
        </w:rPr>
        <w:t xml:space="preserve">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Управления жилищно-коммунального хозяйства города Батайска: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пунктами 11, 12 постановления Правительства Росто</w:t>
      </w:r>
      <w:r>
        <w:rPr>
          <w:sz w:val="28"/>
          <w:szCs w:val="28"/>
        </w:rPr>
        <w:t xml:space="preserve">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Обеспечить выполнение мероприятий по </w:t>
      </w:r>
      <w:r>
        <w:rPr>
          <w:sz w:val="28"/>
          <w:szCs w:val="28"/>
        </w:rPr>
        <w:t>санитарной уборке общественных простран</w:t>
      </w:r>
      <w:proofErr w:type="gramStart"/>
      <w:r>
        <w:rPr>
          <w:sz w:val="28"/>
          <w:szCs w:val="28"/>
        </w:rPr>
        <w:t>ств с пр</w:t>
      </w:r>
      <w:proofErr w:type="gramEnd"/>
      <w:r>
        <w:rPr>
          <w:sz w:val="28"/>
          <w:szCs w:val="28"/>
        </w:rPr>
        <w:t>именением работниками индивидуальных средств защиты, в соответствии с пунктом 18 постановления Правительства Ростовской области от 05.04.2020 № 272 "О мерах по обеспечению санитарно-</w:t>
      </w:r>
      <w:r>
        <w:rPr>
          <w:sz w:val="28"/>
          <w:szCs w:val="28"/>
        </w:rPr>
        <w:lastRenderedPageBreak/>
        <w:t>эпидемиологического благопо</w:t>
      </w:r>
      <w:r>
        <w:rPr>
          <w:sz w:val="28"/>
          <w:szCs w:val="28"/>
        </w:rPr>
        <w:t xml:space="preserve">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подпунктов 6.1., 6.2. пункта 6 настоящего постановления возложить на заместителя главы Администрации города </w:t>
      </w:r>
      <w:r>
        <w:rPr>
          <w:sz w:val="28"/>
          <w:szCs w:val="28"/>
        </w:rPr>
        <w:t>Батайска по жилищно-коммунальному хозяйству.</w:t>
      </w:r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Работодателям, осуществляющим деятельность на территории муниципального образования «Город Батайск» принять меры: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По переводу 30 процентов работников на удаленный доступ, если это не нарушает функциониро</w:t>
      </w:r>
      <w:r>
        <w:rPr>
          <w:sz w:val="28"/>
          <w:szCs w:val="28"/>
        </w:rPr>
        <w:t>вание работы организации, или введения, где возможно, посменной работы с нахождением на дистанционной работе контингентов из групп риска, указанных в приложении № 2 к постановлению Правительства Ростовской области от 05.04.2020 N 272 "О мерах по обеспечени</w:t>
      </w:r>
      <w:r>
        <w:rPr>
          <w:sz w:val="28"/>
          <w:szCs w:val="28"/>
        </w:rPr>
        <w:t xml:space="preserve">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proofErr w:type="gramEnd"/>
      <w:r>
        <w:rPr>
          <w:sz w:val="28"/>
          <w:szCs w:val="28"/>
        </w:rPr>
        <w:t xml:space="preserve"> инфекции (COVID-19)" и работников в возрасте 65 лет и старше.</w:t>
      </w:r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обеспечению ежедневной дезинфекции помещений орган</w:t>
      </w:r>
      <w:r>
        <w:rPr>
          <w:sz w:val="28"/>
          <w:szCs w:val="28"/>
        </w:rPr>
        <w:t>изаций.</w:t>
      </w:r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 соблюдению иных требований, установленных в пункте 3 постановления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</w:t>
      </w:r>
      <w:r>
        <w:rPr>
          <w:sz w:val="28"/>
          <w:szCs w:val="28"/>
        </w:rPr>
        <w:t xml:space="preserve">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(COVID-19)".</w:t>
      </w:r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Первому заместителю главы Администрации города Батайска, заместителю главы Администрации города Батайска по экономике, заместителю главы Администрации города Батайска по жилищно-коммунальному х</w:t>
      </w:r>
      <w:r>
        <w:rPr>
          <w:sz w:val="28"/>
          <w:szCs w:val="28"/>
        </w:rPr>
        <w:t>озяйству при взаимодействии с отделом МВД России по городу Батайску проводить на территории города Батайска регулярные рейды за соблюдением физическими и юридическими лицами санитарно-эпидемиологических требований и дополнительных, введенных настоящим пост</w:t>
      </w:r>
      <w:r>
        <w:rPr>
          <w:sz w:val="28"/>
          <w:szCs w:val="28"/>
        </w:rPr>
        <w:t>ановлением, мер на территории муниципального образования                       «Город Батайск».</w:t>
      </w:r>
      <w:proofErr w:type="gramEnd"/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Начальнику МБУ «</w:t>
      </w:r>
      <w:r>
        <w:rPr>
          <w:kern w:val="1"/>
          <w:sz w:val="32"/>
          <w:szCs w:val="32"/>
        </w:rPr>
        <w:t>У</w:t>
      </w:r>
      <w:r>
        <w:rPr>
          <w:kern w:val="1"/>
          <w:sz w:val="28"/>
          <w:szCs w:val="28"/>
        </w:rPr>
        <w:t>правления гражданской защиты города Батайска</w:t>
      </w:r>
      <w:r>
        <w:rPr>
          <w:sz w:val="28"/>
          <w:szCs w:val="28"/>
        </w:rPr>
        <w:t>» города Батайска, в соответствии с п. 15 Распоряжения Правительства РФ                от 12.04.</w:t>
      </w:r>
      <w:r>
        <w:rPr>
          <w:sz w:val="28"/>
          <w:szCs w:val="28"/>
        </w:rPr>
        <w:t>2020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</w:t>
      </w:r>
      <w:r>
        <w:rPr>
          <w:sz w:val="28"/>
          <w:szCs w:val="28"/>
        </w:rPr>
        <w:t>ь протоколы об административных правонарушениях, предусмотренных статьёй 20.6.1 Кодекса Российской Федерации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», проводить на территории города Батайска регулярные рейды за соблюдением физическими и юридическими лицами вып</w:t>
      </w:r>
      <w:r>
        <w:rPr>
          <w:sz w:val="28"/>
          <w:szCs w:val="28"/>
        </w:rPr>
        <w:t xml:space="preserve">олнения правил поведения при чрезвычайной ситуации или угрозе ее возникновения. 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Обязать руководителей организаций </w:t>
      </w:r>
      <w:r>
        <w:rPr>
          <w:rFonts w:eastAsia="Calibri"/>
          <w:sz w:val="28"/>
          <w:szCs w:val="28"/>
        </w:rPr>
        <w:t xml:space="preserve">независимо от их организационно-правовой формы и формы собственности обеспечить </w:t>
      </w:r>
      <w:r>
        <w:rPr>
          <w:rFonts w:eastAsia="Calibri"/>
          <w:sz w:val="28"/>
          <w:szCs w:val="28"/>
        </w:rPr>
        <w:lastRenderedPageBreak/>
        <w:t xml:space="preserve">соблюдение требований, установленных подпунктом 1.2 </w:t>
      </w:r>
      <w:r>
        <w:rPr>
          <w:rFonts w:eastAsia="Calibri"/>
          <w:sz w:val="28"/>
          <w:szCs w:val="28"/>
        </w:rPr>
        <w:t xml:space="preserve">пункта 1 и рекомендаций для работодателей по профилактике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-19), приведенных в приложении № 3 к</w:t>
      </w:r>
      <w:r>
        <w:rPr>
          <w:sz w:val="28"/>
          <w:szCs w:val="28"/>
        </w:rPr>
        <w:t xml:space="preserve"> постановлению Правительства Ростовской области от 05.04.2020 № 272 «О мерах по обеспечению </w:t>
      </w:r>
      <w:r>
        <w:rPr>
          <w:sz w:val="28"/>
          <w:szCs w:val="28"/>
        </w:rPr>
        <w:t xml:space="preserve">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proofErr w:type="gramStart"/>
      <w:r>
        <w:rPr>
          <w:sz w:val="28"/>
          <w:szCs w:val="28"/>
        </w:rPr>
        <w:t>)»</w:t>
      </w:r>
      <w:proofErr w:type="gramEnd"/>
      <w:r>
        <w:rPr>
          <w:rFonts w:eastAsia="Calibri"/>
          <w:sz w:val="28"/>
          <w:szCs w:val="28"/>
        </w:rPr>
        <w:t>.</w:t>
      </w:r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Гражданам, находящимся на территории муниципального образования «Город Батайск», соблюдать меры </w:t>
      </w:r>
      <w:r>
        <w:rPr>
          <w:sz w:val="28"/>
          <w:szCs w:val="28"/>
        </w:rPr>
        <w:t>и ограничения при проезде в общественном транспорте, посещении общественных мест, предусмотренные подпунктами 1.1, 1.2 пункта 1 постановления Правительства Ростовской области от 05.04.2020 № 272 «О мерах по обеспечению санитарно-эпидемиологического благопо</w:t>
      </w:r>
      <w:r>
        <w:rPr>
          <w:sz w:val="28"/>
          <w:szCs w:val="28"/>
        </w:rPr>
        <w:t xml:space="preserve">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          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-19)».</w:t>
      </w:r>
      <w:proofErr w:type="gramEnd"/>
    </w:p>
    <w:p w:rsidR="00105D6B" w:rsidRDefault="00804AB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Заместителям главы Администрации города Батайска 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и ограничений, установлен</w:t>
      </w:r>
      <w:r>
        <w:rPr>
          <w:color w:val="000000"/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постановлением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 и нас</w:t>
      </w:r>
      <w:r>
        <w:rPr>
          <w:sz w:val="28"/>
          <w:szCs w:val="28"/>
        </w:rPr>
        <w:t>тоящего постановления по курируемым направлениям.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Настоящее постановление вступает в силу со дня его официального опубликования в информационном бюллетене «</w:t>
      </w:r>
      <w:proofErr w:type="gramStart"/>
      <w:r>
        <w:rPr>
          <w:sz w:val="28"/>
          <w:szCs w:val="28"/>
        </w:rPr>
        <w:t>Батайск-официальный</w:t>
      </w:r>
      <w:proofErr w:type="gramEnd"/>
      <w:r>
        <w:rPr>
          <w:sz w:val="28"/>
          <w:szCs w:val="28"/>
        </w:rPr>
        <w:t>» и подлежит размещению в средствах массовой информации и на официальном сайт</w:t>
      </w:r>
      <w:r>
        <w:rPr>
          <w:sz w:val="28"/>
          <w:szCs w:val="28"/>
        </w:rPr>
        <w:t>е Администрации города Батайска в информационно-телекоммуникационной сети «Интернет».</w:t>
      </w:r>
    </w:p>
    <w:p w:rsidR="00105D6B" w:rsidRDefault="0080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D6B" w:rsidRDefault="00105D6B">
      <w:pPr>
        <w:pStyle w:val="a3"/>
        <w:ind w:firstLine="0"/>
        <w:jc w:val="center"/>
        <w:rPr>
          <w:color w:val="000000"/>
          <w:spacing w:val="-24"/>
        </w:rPr>
      </w:pPr>
    </w:p>
    <w:p w:rsidR="00105D6B" w:rsidRDefault="00105D6B">
      <w:pPr>
        <w:pStyle w:val="a3"/>
        <w:ind w:firstLine="0"/>
        <w:rPr>
          <w:color w:val="000000"/>
          <w:spacing w:val="-24"/>
        </w:rPr>
      </w:pPr>
    </w:p>
    <w:p w:rsidR="00105D6B" w:rsidRDefault="00804A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105D6B" w:rsidRDefault="00804A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Г.В. Павлятенко</w:t>
      </w:r>
    </w:p>
    <w:p w:rsidR="00105D6B" w:rsidRDefault="00105D6B">
      <w:pPr>
        <w:pStyle w:val="a3"/>
        <w:ind w:firstLine="0"/>
        <w:rPr>
          <w:color w:val="000000"/>
        </w:rPr>
      </w:pPr>
    </w:p>
    <w:p w:rsidR="00105D6B" w:rsidRDefault="00105D6B">
      <w:pPr>
        <w:pStyle w:val="a3"/>
        <w:ind w:firstLine="0"/>
        <w:rPr>
          <w:color w:val="000000"/>
        </w:rPr>
      </w:pPr>
    </w:p>
    <w:p w:rsidR="00105D6B" w:rsidRDefault="00804ABD">
      <w:pPr>
        <w:pStyle w:val="a3"/>
        <w:ind w:firstLine="0"/>
        <w:rPr>
          <w:color w:val="000000"/>
        </w:rPr>
      </w:pPr>
      <w:r>
        <w:rPr>
          <w:color w:val="000000"/>
        </w:rPr>
        <w:t>Постановление вносит</w:t>
      </w:r>
    </w:p>
    <w:p w:rsidR="00105D6B" w:rsidRDefault="00804ABD">
      <w:pPr>
        <w:pStyle w:val="a3"/>
        <w:ind w:firstLine="0"/>
        <w:rPr>
          <w:color w:val="000000"/>
        </w:rPr>
      </w:pPr>
      <w:r>
        <w:rPr>
          <w:color w:val="000000"/>
        </w:rPr>
        <w:t>замест</w:t>
      </w:r>
      <w:r>
        <w:rPr>
          <w:color w:val="000000"/>
        </w:rPr>
        <w:t xml:space="preserve">итель главы Администрации </w:t>
      </w:r>
    </w:p>
    <w:p w:rsidR="00105D6B" w:rsidRDefault="00804ABD">
      <w:pPr>
        <w:pStyle w:val="a3"/>
        <w:ind w:firstLine="0"/>
        <w:rPr>
          <w:color w:val="000000"/>
          <w:highlight w:val="yellow"/>
        </w:rPr>
      </w:pPr>
      <w:r>
        <w:rPr>
          <w:color w:val="000000"/>
        </w:rPr>
        <w:t>города Батайска по социальным вопросам</w:t>
      </w:r>
    </w:p>
    <w:p w:rsidR="00105D6B" w:rsidRDefault="00105D6B">
      <w:pPr>
        <w:pStyle w:val="a3"/>
        <w:ind w:firstLine="0"/>
        <w:rPr>
          <w:color w:val="000000"/>
          <w:highlight w:val="yellow"/>
        </w:rPr>
      </w:pPr>
    </w:p>
    <w:sectPr w:rsidR="00105D6B">
      <w:headerReference w:type="default" r:id="rId9"/>
      <w:endnotePr>
        <w:numFmt w:val="decimal"/>
      </w:endnotePr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BD" w:rsidRDefault="00804ABD">
      <w:r>
        <w:separator/>
      </w:r>
    </w:p>
  </w:endnote>
  <w:endnote w:type="continuationSeparator" w:id="0">
    <w:p w:rsidR="00804ABD" w:rsidRDefault="008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BD" w:rsidRDefault="00804ABD">
      <w:r>
        <w:separator/>
      </w:r>
    </w:p>
  </w:footnote>
  <w:footnote w:type="continuationSeparator" w:id="0">
    <w:p w:rsidR="00804ABD" w:rsidRDefault="0080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6B" w:rsidRDefault="00804ABD">
    <w:pPr>
      <w:pStyle w:val="1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42E55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105D6B" w:rsidRDefault="00105D6B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3E"/>
    <w:multiLevelType w:val="hybridMultilevel"/>
    <w:tmpl w:val="046CFAC0"/>
    <w:lvl w:ilvl="0" w:tplc="62D2AC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8CE3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B6C6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9789B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E226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74AF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682FA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8AC3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785F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74C572E"/>
    <w:multiLevelType w:val="hybridMultilevel"/>
    <w:tmpl w:val="A580CE12"/>
    <w:name w:val="Нумерованный список 2"/>
    <w:lvl w:ilvl="0" w:tplc="2534A84A">
      <w:numFmt w:val="none"/>
      <w:lvlText w:val=""/>
      <w:lvlJc w:val="left"/>
      <w:pPr>
        <w:ind w:left="0" w:firstLine="0"/>
      </w:pPr>
    </w:lvl>
    <w:lvl w:ilvl="1" w:tplc="C05E819A">
      <w:numFmt w:val="none"/>
      <w:lvlText w:val=""/>
      <w:lvlJc w:val="left"/>
      <w:pPr>
        <w:ind w:left="0" w:firstLine="0"/>
      </w:pPr>
    </w:lvl>
    <w:lvl w:ilvl="2" w:tplc="63D43104">
      <w:numFmt w:val="none"/>
      <w:lvlText w:val=""/>
      <w:lvlJc w:val="left"/>
      <w:pPr>
        <w:ind w:left="0" w:firstLine="0"/>
      </w:pPr>
    </w:lvl>
    <w:lvl w:ilvl="3" w:tplc="B5D09A0E">
      <w:numFmt w:val="none"/>
      <w:lvlText w:val=""/>
      <w:lvlJc w:val="left"/>
      <w:pPr>
        <w:ind w:left="0" w:firstLine="0"/>
      </w:pPr>
    </w:lvl>
    <w:lvl w:ilvl="4" w:tplc="86F00BE0">
      <w:numFmt w:val="none"/>
      <w:lvlText w:val=""/>
      <w:lvlJc w:val="left"/>
      <w:pPr>
        <w:ind w:left="0" w:firstLine="0"/>
      </w:pPr>
    </w:lvl>
    <w:lvl w:ilvl="5" w:tplc="FCD6412C">
      <w:numFmt w:val="none"/>
      <w:lvlText w:val=""/>
      <w:lvlJc w:val="left"/>
      <w:pPr>
        <w:ind w:left="0" w:firstLine="0"/>
      </w:pPr>
    </w:lvl>
    <w:lvl w:ilvl="6" w:tplc="8254676A">
      <w:numFmt w:val="none"/>
      <w:lvlText w:val=""/>
      <w:lvlJc w:val="left"/>
      <w:pPr>
        <w:ind w:left="0" w:firstLine="0"/>
      </w:pPr>
    </w:lvl>
    <w:lvl w:ilvl="7" w:tplc="C4C2C4B6">
      <w:numFmt w:val="none"/>
      <w:lvlText w:val=""/>
      <w:lvlJc w:val="left"/>
      <w:pPr>
        <w:ind w:left="0" w:firstLine="0"/>
      </w:pPr>
    </w:lvl>
    <w:lvl w:ilvl="8" w:tplc="F66C39C4">
      <w:numFmt w:val="none"/>
      <w:lvlText w:val=""/>
      <w:lvlJc w:val="left"/>
      <w:pPr>
        <w:ind w:left="0" w:firstLine="0"/>
      </w:pPr>
    </w:lvl>
  </w:abstractNum>
  <w:abstractNum w:abstractNumId="2">
    <w:nsid w:val="47DB6066"/>
    <w:multiLevelType w:val="hybridMultilevel"/>
    <w:tmpl w:val="FDFC4230"/>
    <w:name w:val="Нумерованный список 1"/>
    <w:lvl w:ilvl="0" w:tplc="7B2E009C">
      <w:start w:val="1"/>
      <w:numFmt w:val="decimal"/>
      <w:lvlText w:val="%1."/>
      <w:lvlJc w:val="left"/>
      <w:pPr>
        <w:ind w:left="709" w:firstLine="0"/>
      </w:pPr>
    </w:lvl>
    <w:lvl w:ilvl="1" w:tplc="C9AC4B5C">
      <w:start w:val="1"/>
      <w:numFmt w:val="lowerLetter"/>
      <w:lvlText w:val="%2."/>
      <w:lvlJc w:val="left"/>
      <w:pPr>
        <w:ind w:left="1429" w:firstLine="0"/>
      </w:pPr>
    </w:lvl>
    <w:lvl w:ilvl="2" w:tplc="7F403E28">
      <w:start w:val="1"/>
      <w:numFmt w:val="lowerRoman"/>
      <w:lvlText w:val="%3."/>
      <w:lvlJc w:val="left"/>
      <w:pPr>
        <w:ind w:left="2329" w:firstLine="0"/>
      </w:pPr>
    </w:lvl>
    <w:lvl w:ilvl="3" w:tplc="E0526282">
      <w:start w:val="1"/>
      <w:numFmt w:val="decimal"/>
      <w:lvlText w:val="%4."/>
      <w:lvlJc w:val="left"/>
      <w:pPr>
        <w:ind w:left="2869" w:firstLine="0"/>
      </w:pPr>
    </w:lvl>
    <w:lvl w:ilvl="4" w:tplc="82CC67CE">
      <w:start w:val="1"/>
      <w:numFmt w:val="lowerLetter"/>
      <w:lvlText w:val="%5."/>
      <w:lvlJc w:val="left"/>
      <w:pPr>
        <w:ind w:left="3589" w:firstLine="0"/>
      </w:pPr>
    </w:lvl>
    <w:lvl w:ilvl="5" w:tplc="BA4A31FE">
      <w:start w:val="1"/>
      <w:numFmt w:val="lowerRoman"/>
      <w:lvlText w:val="%6."/>
      <w:lvlJc w:val="left"/>
      <w:pPr>
        <w:ind w:left="4489" w:firstLine="0"/>
      </w:pPr>
    </w:lvl>
    <w:lvl w:ilvl="6" w:tplc="62E42132">
      <w:start w:val="1"/>
      <w:numFmt w:val="decimal"/>
      <w:lvlText w:val="%7."/>
      <w:lvlJc w:val="left"/>
      <w:pPr>
        <w:ind w:left="5029" w:firstLine="0"/>
      </w:pPr>
    </w:lvl>
    <w:lvl w:ilvl="7" w:tplc="037ADF52">
      <w:start w:val="1"/>
      <w:numFmt w:val="lowerLetter"/>
      <w:lvlText w:val="%8."/>
      <w:lvlJc w:val="left"/>
      <w:pPr>
        <w:ind w:left="5749" w:firstLine="0"/>
      </w:pPr>
    </w:lvl>
    <w:lvl w:ilvl="8" w:tplc="F9EC8526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B"/>
    <w:rsid w:val="00105D6B"/>
    <w:rsid w:val="00142E55"/>
    <w:rsid w:val="008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1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9"/>
      <w:jc w:val="both"/>
    </w:pPr>
    <w:rPr>
      <w:sz w:val="28"/>
    </w:rPr>
  </w:style>
  <w:style w:type="paragraph" w:styleId="2">
    <w:name w:val="Body Text 2"/>
    <w:basedOn w:val="a"/>
    <w:qFormat/>
    <w:pPr>
      <w:ind w:right="6111"/>
    </w:pPr>
    <w:rPr>
      <w:sz w:val="28"/>
      <w:szCs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20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22" w:lineRule="exact"/>
      <w:ind w:firstLine="1420"/>
    </w:pPr>
    <w:rPr>
      <w:rFonts w:ascii="Calibri" w:eastAsia="Calibri" w:hAnsi="Calibri"/>
      <w:b/>
      <w:bCs/>
      <w:sz w:val="27"/>
      <w:szCs w:val="27"/>
    </w:r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2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600" w:line="322" w:lineRule="exact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  <w:lang w:val="en-US"/>
    </w:rPr>
  </w:style>
  <w:style w:type="character" w:customStyle="1" w:styleId="ab">
    <w:name w:val="Основной текст_"/>
    <w:basedOn w:val="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c">
    <w:name w:val="Table Grid"/>
    <w:basedOn w:val="a1"/>
    <w:uiPriority w:val="59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1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9"/>
      <w:jc w:val="both"/>
    </w:pPr>
    <w:rPr>
      <w:sz w:val="28"/>
    </w:rPr>
  </w:style>
  <w:style w:type="paragraph" w:styleId="2">
    <w:name w:val="Body Text 2"/>
    <w:basedOn w:val="a"/>
    <w:qFormat/>
    <w:pPr>
      <w:ind w:right="6111"/>
    </w:pPr>
    <w:rPr>
      <w:sz w:val="28"/>
      <w:szCs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20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22" w:lineRule="exact"/>
      <w:ind w:firstLine="1420"/>
    </w:pPr>
    <w:rPr>
      <w:rFonts w:ascii="Calibri" w:eastAsia="Calibri" w:hAnsi="Calibri"/>
      <w:b/>
      <w:bCs/>
      <w:sz w:val="27"/>
      <w:szCs w:val="27"/>
    </w:r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2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600" w:line="322" w:lineRule="exact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  <w:lang w:val="en-US"/>
    </w:rPr>
  </w:style>
  <w:style w:type="character" w:customStyle="1" w:styleId="ab">
    <w:name w:val="Основной текст_"/>
    <w:basedOn w:val="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c">
    <w:name w:val="Table Grid"/>
    <w:basedOn w:val="a1"/>
    <w:uiPriority w:val="59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Boiko</cp:lastModifiedBy>
  <cp:revision>2</cp:revision>
  <cp:lastPrinted>2020-10-14T07:47:00Z</cp:lastPrinted>
  <dcterms:created xsi:type="dcterms:W3CDTF">2020-10-27T14:17:00Z</dcterms:created>
  <dcterms:modified xsi:type="dcterms:W3CDTF">2020-10-27T14:17:00Z</dcterms:modified>
</cp:coreProperties>
</file>